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A399B" w14:textId="460381B0" w:rsidR="00E46765" w:rsidRPr="00BF1310" w:rsidRDefault="00E46765" w:rsidP="00E46765">
      <w:pPr>
        <w:pStyle w:val="3GPPHeader"/>
        <w:spacing w:after="0"/>
        <w:rPr>
          <w:lang w:val="en-US"/>
        </w:rPr>
      </w:pPr>
      <w:bookmarkStart w:id="0" w:name="_GoBack"/>
      <w:bookmarkEnd w:id="0"/>
      <w:r>
        <w:rPr>
          <w:noProof/>
          <w:lang w:val="en-US"/>
        </w:rPr>
        <w:t>3GPP</w:t>
      </w:r>
      <w:r>
        <w:rPr>
          <w:lang w:val="en-US"/>
        </w:rPr>
        <w:t xml:space="preserve"> TSG RAN WG1 Meeting AH 1801</w:t>
      </w:r>
      <w:r>
        <w:rPr>
          <w:lang w:val="en-US"/>
        </w:rPr>
        <w:tab/>
      </w:r>
      <w:r w:rsidRPr="00BF1310">
        <w:rPr>
          <w:lang w:val="en-US"/>
        </w:rPr>
        <w:t>R1-</w:t>
      </w:r>
      <w:r w:rsidR="00BF1310" w:rsidRPr="00BF1310">
        <w:rPr>
          <w:lang w:val="en-US"/>
        </w:rPr>
        <w:t>1800963</w:t>
      </w:r>
    </w:p>
    <w:p w14:paraId="73D0A6CA" w14:textId="77777777" w:rsidR="00E46765" w:rsidRDefault="00E46765" w:rsidP="00E46765">
      <w:pPr>
        <w:pStyle w:val="3GPPHeader"/>
        <w:spacing w:after="0"/>
        <w:rPr>
          <w:sz w:val="22"/>
          <w:lang w:val="en-US"/>
        </w:rPr>
      </w:pPr>
      <w:r>
        <w:rPr>
          <w:sz w:val="22"/>
          <w:lang w:val="en-US"/>
        </w:rPr>
        <w:t>Vancouver, Canada, 22nd Jan- 26th Jan 2018</w:t>
      </w:r>
    </w:p>
    <w:p w14:paraId="269B93C6" w14:textId="77777777" w:rsidR="00E46765" w:rsidRDefault="00E46765" w:rsidP="00E46765">
      <w:pPr>
        <w:pStyle w:val="3GPPHeader"/>
        <w:rPr>
          <w:sz w:val="22"/>
          <w:lang w:val="en-US"/>
        </w:rPr>
      </w:pPr>
    </w:p>
    <w:p w14:paraId="3980E2E1" w14:textId="0FE9C996" w:rsidR="00E46765" w:rsidRDefault="00E46765" w:rsidP="00E46765">
      <w:pPr>
        <w:pStyle w:val="3GPPHeader"/>
        <w:rPr>
          <w:sz w:val="22"/>
          <w:lang w:val="en-US"/>
        </w:rPr>
      </w:pPr>
      <w:r>
        <w:rPr>
          <w:sz w:val="22"/>
          <w:lang w:val="en-US"/>
        </w:rPr>
        <w:t>Agenda Item:</w:t>
      </w:r>
      <w:r>
        <w:rPr>
          <w:sz w:val="22"/>
          <w:lang w:val="en-US"/>
        </w:rPr>
        <w:tab/>
        <w:t>7.</w:t>
      </w:r>
      <w:r w:rsidR="003E5BB1">
        <w:rPr>
          <w:sz w:val="22"/>
          <w:lang w:val="en-US"/>
        </w:rPr>
        <w:t>9</w:t>
      </w:r>
    </w:p>
    <w:p w14:paraId="208CA450" w14:textId="77777777" w:rsidR="00E46765" w:rsidRDefault="00E46765" w:rsidP="00E46765">
      <w:pPr>
        <w:pStyle w:val="3GPPHeader"/>
        <w:rPr>
          <w:sz w:val="22"/>
          <w:lang w:val="en-US"/>
        </w:rPr>
      </w:pPr>
      <w:r>
        <w:rPr>
          <w:sz w:val="22"/>
          <w:lang w:val="en-US"/>
        </w:rPr>
        <w:t>Source:</w:t>
      </w:r>
      <w:r>
        <w:rPr>
          <w:sz w:val="22"/>
          <w:lang w:val="en-US"/>
        </w:rPr>
        <w:tab/>
        <w:t>Ericsson</w:t>
      </w:r>
    </w:p>
    <w:p w14:paraId="4E884AFB" w14:textId="66622B43" w:rsidR="00E46765" w:rsidRDefault="00E46765" w:rsidP="00E46765">
      <w:pPr>
        <w:pStyle w:val="3GPPHeader"/>
        <w:ind w:left="1701" w:hanging="1701"/>
        <w:rPr>
          <w:sz w:val="22"/>
          <w:lang w:val="en-US"/>
        </w:rPr>
      </w:pPr>
      <w:r>
        <w:rPr>
          <w:sz w:val="22"/>
          <w:lang w:val="en-US"/>
        </w:rPr>
        <w:t>Title:</w:t>
      </w:r>
      <w:r>
        <w:rPr>
          <w:sz w:val="22"/>
          <w:lang w:val="en-US"/>
        </w:rPr>
        <w:tab/>
      </w:r>
      <w:r w:rsidR="00CC47F7" w:rsidRPr="00CC47F7">
        <w:rPr>
          <w:sz w:val="22"/>
          <w:lang w:val="en-US"/>
        </w:rPr>
        <w:t>On PDCCH repetition for URLLC</w:t>
      </w:r>
    </w:p>
    <w:p w14:paraId="5DB168AE" w14:textId="3F953A84" w:rsidR="00E46765" w:rsidRDefault="00E46765" w:rsidP="00E46765">
      <w:pPr>
        <w:pStyle w:val="3GPPHeader"/>
        <w:ind w:left="1701" w:hanging="1701"/>
        <w:rPr>
          <w:sz w:val="22"/>
          <w:lang w:val="en-US"/>
        </w:rPr>
      </w:pPr>
      <w:r>
        <w:rPr>
          <w:sz w:val="22"/>
          <w:lang w:val="en-US"/>
        </w:rPr>
        <w:t>Document for:</w:t>
      </w:r>
      <w:r>
        <w:rPr>
          <w:sz w:val="22"/>
          <w:lang w:val="en-US"/>
        </w:rPr>
        <w:tab/>
      </w:r>
      <w:r w:rsidR="003E5BB1">
        <w:rPr>
          <w:sz w:val="22"/>
          <w:lang w:val="en-US"/>
        </w:rPr>
        <w:t>Information</w:t>
      </w:r>
    </w:p>
    <w:p w14:paraId="7A09D1D2" w14:textId="77777777" w:rsidR="00E46765" w:rsidRDefault="00E46765" w:rsidP="00E46765">
      <w:pPr>
        <w:pStyle w:val="Heading1"/>
        <w:numPr>
          <w:ilvl w:val="0"/>
          <w:numId w:val="26"/>
        </w:numPr>
        <w:textAlignment w:val="auto"/>
        <w:rPr>
          <w:lang w:val="en-US"/>
        </w:rPr>
      </w:pPr>
      <w:r>
        <w:rPr>
          <w:lang w:val="en-US"/>
        </w:rPr>
        <w:t>Introduction</w:t>
      </w:r>
      <w:bookmarkStart w:id="1" w:name="_Ref178064866"/>
    </w:p>
    <w:p w14:paraId="65C353BB" w14:textId="77777777" w:rsidR="00E46765" w:rsidRPr="00394924" w:rsidRDefault="00E46765" w:rsidP="00E46765">
      <w:pPr>
        <w:pStyle w:val="BodyText"/>
        <w:rPr>
          <w:lang w:val="en-US"/>
        </w:rPr>
      </w:pPr>
      <w:r w:rsidRPr="00394924">
        <w:rPr>
          <w:lang w:val="en-US"/>
        </w:rPr>
        <w:t xml:space="preserve">According to [1], RAN1 should identify techniques for supporting the ultra-reliable part of URLLC requirements set forth in [2] starting in RAN1 NR Ad-hoc#2 meeting in June 2017. </w:t>
      </w:r>
    </w:p>
    <w:p w14:paraId="11702340" w14:textId="77777777" w:rsidR="00E46765" w:rsidRPr="00394924" w:rsidRDefault="00E46765" w:rsidP="00E46765">
      <w:pPr>
        <w:pStyle w:val="BodyText"/>
        <w:rPr>
          <w:lang w:val="en-US"/>
        </w:rPr>
      </w:pPr>
      <w:r w:rsidRPr="00394924">
        <w:rPr>
          <w:lang w:val="en-US"/>
        </w:rPr>
        <w:t xml:space="preserve">Performance of DL control channel is crucial for meeting URLLC requirements as discussed in [3]. </w:t>
      </w:r>
      <w:bookmarkStart w:id="2" w:name="_Hlk485323842"/>
      <w:r w:rsidRPr="00394924">
        <w:rPr>
          <w:lang w:val="en-US"/>
        </w:rPr>
        <w:t xml:space="preserve">In this contribution, we </w:t>
      </w:r>
      <w:bookmarkEnd w:id="2"/>
      <w:r w:rsidRPr="00394924">
        <w:rPr>
          <w:lang w:val="en-US"/>
        </w:rPr>
        <w:t xml:space="preserve">discuss aspects of PDCCH repetition, its gain, and potential drawbacks. </w:t>
      </w:r>
    </w:p>
    <w:p w14:paraId="1604FA76" w14:textId="77777777" w:rsidR="00E46765" w:rsidRDefault="00E46765" w:rsidP="00E46765">
      <w:pPr>
        <w:pStyle w:val="Heading1"/>
        <w:numPr>
          <w:ilvl w:val="0"/>
          <w:numId w:val="26"/>
        </w:numPr>
        <w:textAlignment w:val="auto"/>
        <w:rPr>
          <w:lang w:val="en-US"/>
        </w:rPr>
      </w:pPr>
      <w:r>
        <w:rPr>
          <w:lang w:val="en-US"/>
        </w:rPr>
        <w:t>Discussion</w:t>
      </w:r>
      <w:bookmarkEnd w:id="1"/>
    </w:p>
    <w:p w14:paraId="58093AC9" w14:textId="77777777" w:rsidR="00E46765" w:rsidRDefault="00E46765" w:rsidP="00E46765">
      <w:pPr>
        <w:pStyle w:val="Heading2"/>
        <w:numPr>
          <w:ilvl w:val="1"/>
          <w:numId w:val="26"/>
        </w:numPr>
        <w:textAlignment w:val="auto"/>
        <w:rPr>
          <w:lang w:val="en-US"/>
        </w:rPr>
      </w:pPr>
      <w:r>
        <w:rPr>
          <w:lang w:val="en-US"/>
        </w:rPr>
        <w:t>Existing PDCCH enhancement</w:t>
      </w:r>
    </w:p>
    <w:p w14:paraId="75211A84" w14:textId="0BE2D9D1" w:rsidR="00E46765" w:rsidRDefault="00E46765" w:rsidP="00E46765">
      <w:pPr>
        <w:rPr>
          <w:rFonts w:cs="Arial"/>
          <w:lang w:val="en-US"/>
        </w:rPr>
      </w:pPr>
      <w:r>
        <w:rPr>
          <w:rFonts w:cs="Arial"/>
          <w:lang w:val="en-US"/>
        </w:rPr>
        <w:t>There have been a lot of discussions on NR PDCCH enhancement. So far, NR spec</w:t>
      </w:r>
      <w:r w:rsidR="00394924">
        <w:rPr>
          <w:rFonts w:cs="Arial"/>
          <w:lang w:val="en-US"/>
        </w:rPr>
        <w:t>ification added support</w:t>
      </w:r>
      <w:r w:rsidR="002B3A7F">
        <w:rPr>
          <w:rFonts w:cs="Arial"/>
          <w:lang w:val="en-US"/>
        </w:rPr>
        <w:t xml:space="preserve"> for PDCCH with </w:t>
      </w:r>
      <w:r>
        <w:rPr>
          <w:rFonts w:cs="Arial"/>
          <w:lang w:val="en-US"/>
        </w:rPr>
        <w:t xml:space="preserve">aggregation level (AL) up </w:t>
      </w:r>
      <w:r w:rsidR="002B3A7F">
        <w:rPr>
          <w:rFonts w:cs="Arial"/>
          <w:lang w:val="en-US"/>
        </w:rPr>
        <w:t xml:space="preserve">to </w:t>
      </w:r>
      <w:r>
        <w:rPr>
          <w:rFonts w:cs="Arial"/>
          <w:lang w:val="en-US"/>
        </w:rPr>
        <w:t>16. The discussion about supporting smaller DCI size in the form of compact DCI is still ongoing. These enhancements ensure robustness for PDCCH transmission by allowing very low rate transmission</w:t>
      </w:r>
      <w:r w:rsidR="00472D75">
        <w:rPr>
          <w:rFonts w:cs="Arial"/>
          <w:lang w:val="en-US"/>
        </w:rPr>
        <w:t>s</w:t>
      </w:r>
      <w:r>
        <w:rPr>
          <w:rFonts w:cs="Arial"/>
          <w:lang w:val="en-US"/>
        </w:rPr>
        <w:t xml:space="preserve"> of DL control information. </w:t>
      </w:r>
    </w:p>
    <w:p w14:paraId="12033091" w14:textId="18CAD6BC" w:rsidR="00E46765" w:rsidRDefault="00E46765" w:rsidP="00E46765">
      <w:pPr>
        <w:rPr>
          <w:rFonts w:cs="Arial"/>
          <w:lang w:val="en-US"/>
        </w:rPr>
      </w:pPr>
      <w:r>
        <w:rPr>
          <w:rFonts w:cs="Arial"/>
          <w:lang w:val="en-US"/>
        </w:rPr>
        <w:t>Moreover, it was recently agreed that for NR the number of receive antenna supported by the UE is 4 by default (at least for a set of frequency bands) [4]. This enhanced UE capability can greatly improve the performance of NR physical channels</w:t>
      </w:r>
      <w:r w:rsidR="00472D75">
        <w:rPr>
          <w:rFonts w:cs="Arial"/>
          <w:lang w:val="en-US"/>
        </w:rPr>
        <w:t>,</w:t>
      </w:r>
      <w:r>
        <w:rPr>
          <w:rFonts w:cs="Arial"/>
          <w:lang w:val="en-US"/>
        </w:rPr>
        <w:t xml:space="preserve"> including PDCCH. </w:t>
      </w:r>
    </w:p>
    <w:p w14:paraId="1F6AF2D6" w14:textId="77777777" w:rsidR="00E46765" w:rsidRDefault="00E46765" w:rsidP="00E46765">
      <w:pPr>
        <w:rPr>
          <w:rFonts w:cs="Arial"/>
          <w:lang w:val="en-US"/>
        </w:rPr>
      </w:pPr>
    </w:p>
    <w:p w14:paraId="64F2AC25" w14:textId="77777777" w:rsidR="00E46765" w:rsidRPr="00394924" w:rsidRDefault="00E46765" w:rsidP="00E46765">
      <w:pPr>
        <w:pStyle w:val="Observation"/>
        <w:numPr>
          <w:ilvl w:val="0"/>
          <w:numId w:val="29"/>
        </w:numPr>
        <w:ind w:left="1701" w:hanging="1701"/>
        <w:rPr>
          <w:lang w:val="en-US"/>
        </w:rPr>
      </w:pPr>
      <w:bookmarkStart w:id="3" w:name="_Toc503186895"/>
      <w:bookmarkStart w:id="4" w:name="_Toc503181539"/>
      <w:bookmarkStart w:id="5" w:name="_Toc503180883"/>
      <w:bookmarkStart w:id="6" w:name="_Toc503180829"/>
      <w:bookmarkStart w:id="7" w:name="_Toc503180823"/>
      <w:bookmarkStart w:id="8" w:name="_Toc503180759"/>
      <w:bookmarkStart w:id="9" w:name="_Toc503180746"/>
      <w:bookmarkStart w:id="10" w:name="_Toc503180666"/>
      <w:bookmarkStart w:id="11" w:name="_Toc503180638"/>
      <w:bookmarkStart w:id="12" w:name="_Toc503180282"/>
      <w:bookmarkStart w:id="13" w:name="_Toc503179294"/>
      <w:r w:rsidRPr="00394924">
        <w:rPr>
          <w:lang w:val="en-US"/>
        </w:rPr>
        <w:t>Existing PDCCH design and improved UE capability in terms of increased no. of receive antennas provide a strong basis for PDCCH reliability enhancement fulfilling URLLC requirements.</w:t>
      </w:r>
      <w:bookmarkEnd w:id="3"/>
      <w:bookmarkEnd w:id="4"/>
      <w:bookmarkEnd w:id="5"/>
      <w:bookmarkEnd w:id="6"/>
      <w:bookmarkEnd w:id="7"/>
      <w:bookmarkEnd w:id="8"/>
      <w:bookmarkEnd w:id="9"/>
      <w:bookmarkEnd w:id="10"/>
      <w:bookmarkEnd w:id="11"/>
      <w:bookmarkEnd w:id="12"/>
      <w:bookmarkEnd w:id="13"/>
      <w:r w:rsidRPr="00394924">
        <w:rPr>
          <w:lang w:val="en-US"/>
        </w:rPr>
        <w:t xml:space="preserve"> </w:t>
      </w:r>
    </w:p>
    <w:p w14:paraId="4CC2EE51" w14:textId="77777777" w:rsidR="00E46765" w:rsidRDefault="00E46765" w:rsidP="00E46765">
      <w:pPr>
        <w:pStyle w:val="Heading2"/>
        <w:numPr>
          <w:ilvl w:val="1"/>
          <w:numId w:val="26"/>
        </w:numPr>
        <w:textAlignment w:val="auto"/>
        <w:rPr>
          <w:lang w:val="en-US"/>
        </w:rPr>
      </w:pPr>
      <w:r>
        <w:rPr>
          <w:lang w:val="en-US"/>
        </w:rPr>
        <w:t>PDCCH repetition</w:t>
      </w:r>
    </w:p>
    <w:p w14:paraId="6D3D8253" w14:textId="77777777" w:rsidR="00E46765" w:rsidRDefault="00E46765" w:rsidP="00E46765">
      <w:pPr>
        <w:rPr>
          <w:rFonts w:cs="Arial"/>
          <w:lang w:val="en-US"/>
        </w:rPr>
      </w:pPr>
      <w:r>
        <w:rPr>
          <w:rFonts w:cs="Arial"/>
          <w:lang w:val="en-US"/>
        </w:rPr>
        <w:t xml:space="preserve">There have also been discussions on further enhancement of PDCCH by means of </w:t>
      </w:r>
      <w:r>
        <w:rPr>
          <w:rFonts w:cs="Arial"/>
          <w:i/>
          <w:lang w:val="en-US"/>
        </w:rPr>
        <w:t>repetition</w:t>
      </w:r>
      <w:r>
        <w:rPr>
          <w:rFonts w:cs="Arial"/>
          <w:lang w:val="en-US"/>
        </w:rPr>
        <w:t xml:space="preserve">. PDCCH repetition provides extra robustness for DL control information in general but would require extra resources either in time, frequency, or space.  </w:t>
      </w:r>
    </w:p>
    <w:p w14:paraId="35C02C9C" w14:textId="2D662489" w:rsidR="00150C8C" w:rsidRDefault="00150C8C" w:rsidP="00150C8C">
      <w:pPr>
        <w:rPr>
          <w:rFonts w:cs="Arial"/>
          <w:lang w:val="en-US"/>
        </w:rPr>
      </w:pPr>
      <w:r>
        <w:rPr>
          <w:rFonts w:cs="Arial"/>
          <w:lang w:val="en-US"/>
        </w:rPr>
        <w:t xml:space="preserve">Repetition of PDCCH could be done for example across 1) multiple CORESETs or 2) multiple search spaces within one CORESET, in time or frequency. The former would require extra CORESET resources and potentially higher complexity of blind decoding when a UE monitors multiple CORESETs at the same time. In the latter case, no extra CORESET resources are needed, but repetition over multiple search spaces </w:t>
      </w:r>
      <w:r>
        <w:rPr>
          <w:rFonts w:cs="Arial"/>
          <w:lang w:val="en-US"/>
        </w:rPr>
        <w:lastRenderedPageBreak/>
        <w:t>would lead to less UE multiplexing capacity</w:t>
      </w:r>
      <w:r w:rsidRPr="00AD2039">
        <w:rPr>
          <w:rFonts w:cs="Arial"/>
          <w:lang w:val="en-US"/>
        </w:rPr>
        <w:t xml:space="preserve">, similarly to </w:t>
      </w:r>
      <w:r>
        <w:rPr>
          <w:rFonts w:cs="Arial"/>
          <w:lang w:val="en-US"/>
        </w:rPr>
        <w:t xml:space="preserve">using high AL. Also, PDCCH performance may be limited by the low AL if repetition is done with different ALs. </w:t>
      </w:r>
    </w:p>
    <w:p w14:paraId="6BBD8F61" w14:textId="10F188E7" w:rsidR="00E46765" w:rsidRDefault="00E46765" w:rsidP="00E46765">
      <w:pPr>
        <w:rPr>
          <w:rFonts w:cs="Arial"/>
          <w:lang w:val="en-US"/>
        </w:rPr>
      </w:pPr>
      <w:r>
        <w:rPr>
          <w:rFonts w:cs="Arial"/>
          <w:lang w:val="en-US"/>
        </w:rPr>
        <w:t>Repetition in time, especially across multiple slots may lead to high latency and is not suitable for URLLC. Repetition over multiple s</w:t>
      </w:r>
      <w:r w:rsidR="00472D75">
        <w:rPr>
          <w:rFonts w:cs="Arial"/>
          <w:lang w:val="en-US"/>
        </w:rPr>
        <w:t xml:space="preserve">ymbols </w:t>
      </w:r>
      <w:r w:rsidR="00150C8C">
        <w:rPr>
          <w:rFonts w:cs="Arial"/>
          <w:lang w:val="en-US"/>
        </w:rPr>
        <w:t xml:space="preserve">in a slot </w:t>
      </w:r>
      <w:r w:rsidR="00472D75">
        <w:rPr>
          <w:rFonts w:cs="Arial"/>
          <w:lang w:val="en-US"/>
        </w:rPr>
        <w:t>can be considered as equivalent</w:t>
      </w:r>
      <w:r>
        <w:rPr>
          <w:rFonts w:cs="Arial"/>
          <w:lang w:val="en-US"/>
        </w:rPr>
        <w:t xml:space="preserve"> to </w:t>
      </w:r>
      <w:r w:rsidR="00472D75">
        <w:rPr>
          <w:rFonts w:cs="Arial"/>
          <w:lang w:val="en-US"/>
        </w:rPr>
        <w:t xml:space="preserve">an </w:t>
      </w:r>
      <w:r>
        <w:rPr>
          <w:rFonts w:cs="Arial"/>
          <w:lang w:val="en-US"/>
        </w:rPr>
        <w:t>increase in AL, but without any coding</w:t>
      </w:r>
      <w:r w:rsidR="00472D75">
        <w:rPr>
          <w:rFonts w:cs="Arial"/>
          <w:lang w:val="en-US"/>
        </w:rPr>
        <w:t xml:space="preserve"> gain and with additional CRC overhead.</w:t>
      </w:r>
    </w:p>
    <w:p w14:paraId="6232655C" w14:textId="50F563BC" w:rsidR="00E46765" w:rsidRDefault="00E46765" w:rsidP="00E46765">
      <w:pPr>
        <w:rPr>
          <w:rFonts w:cs="Arial"/>
          <w:lang w:val="en-US"/>
        </w:rPr>
      </w:pPr>
      <w:r>
        <w:rPr>
          <w:rFonts w:cs="Arial"/>
          <w:lang w:val="en-US"/>
        </w:rPr>
        <w:t xml:space="preserve">Repetition in frequency </w:t>
      </w:r>
      <w:r w:rsidR="00150C8C">
        <w:rPr>
          <w:rFonts w:cs="Arial"/>
          <w:lang w:val="en-US"/>
        </w:rPr>
        <w:t xml:space="preserve">can provide extra frequency diversity gain especially if multiple CORESETs or search spaces can be configured flexibly. </w:t>
      </w:r>
    </w:p>
    <w:p w14:paraId="15F22825" w14:textId="77777777" w:rsidR="00E46765" w:rsidRDefault="00E46765" w:rsidP="00E46765">
      <w:pPr>
        <w:rPr>
          <w:rFonts w:cs="Arial"/>
          <w:lang w:val="en-US"/>
        </w:rPr>
      </w:pPr>
      <w:r>
        <w:rPr>
          <w:rFonts w:cs="Arial"/>
          <w:lang w:val="en-US"/>
        </w:rPr>
        <w:t>For exact repetition of PDCCH over multiple CORESETS, if the resource mapping configuration between CORESETs is fixed, it would be possible to limit no. of blind decoding attempts only to one CORESET. The UE can make use of the fact that the other CORESET has the same structure and can be directly inferred to and combined with. In this case, blind decoding complexity remains the same, but the resource configuration flexibility may be limited.</w:t>
      </w:r>
    </w:p>
    <w:p w14:paraId="05FADD40" w14:textId="77777777" w:rsidR="00E46765" w:rsidRDefault="00E46765" w:rsidP="00E46765">
      <w:pPr>
        <w:rPr>
          <w:rFonts w:cs="Arial"/>
          <w:lang w:val="en-US"/>
        </w:rPr>
      </w:pPr>
    </w:p>
    <w:p w14:paraId="04069082" w14:textId="77777777" w:rsidR="00E46765" w:rsidRPr="00394924" w:rsidRDefault="00E46765" w:rsidP="00E46765">
      <w:pPr>
        <w:pStyle w:val="Observation"/>
        <w:numPr>
          <w:ilvl w:val="0"/>
          <w:numId w:val="29"/>
        </w:numPr>
        <w:ind w:left="1701" w:hanging="1701"/>
        <w:rPr>
          <w:lang w:val="en-US"/>
        </w:rPr>
      </w:pPr>
      <w:bookmarkStart w:id="14" w:name="_Toc503186896"/>
      <w:bookmarkStart w:id="15" w:name="_Toc503181540"/>
      <w:bookmarkStart w:id="16" w:name="_Toc503180884"/>
      <w:bookmarkStart w:id="17" w:name="_Toc503180830"/>
      <w:bookmarkStart w:id="18" w:name="_Toc503180824"/>
      <w:bookmarkStart w:id="19" w:name="_Toc503180760"/>
      <w:bookmarkStart w:id="20" w:name="_Toc503180747"/>
      <w:bookmarkStart w:id="21" w:name="_Toc503180667"/>
      <w:bookmarkStart w:id="22" w:name="_Toc503180639"/>
      <w:bookmarkStart w:id="23" w:name="_Toc503180283"/>
      <w:bookmarkStart w:id="24" w:name="_Toc503179295"/>
      <w:r w:rsidRPr="00394924">
        <w:rPr>
          <w:lang w:val="en-US"/>
        </w:rPr>
        <w:t xml:space="preserve">PDCCH repetition </w:t>
      </w:r>
      <w:r>
        <w:rPr>
          <w:rFonts w:cs="Arial"/>
          <w:lang w:val="en-US"/>
        </w:rPr>
        <w:t>provides extra robustness for DL control information in general but also requires extra resources in time, frequency, or space.</w:t>
      </w:r>
      <w:bookmarkEnd w:id="14"/>
      <w:bookmarkEnd w:id="15"/>
      <w:bookmarkEnd w:id="16"/>
      <w:bookmarkEnd w:id="17"/>
      <w:bookmarkEnd w:id="18"/>
      <w:bookmarkEnd w:id="19"/>
      <w:bookmarkEnd w:id="20"/>
      <w:bookmarkEnd w:id="21"/>
      <w:bookmarkEnd w:id="22"/>
      <w:bookmarkEnd w:id="23"/>
      <w:bookmarkEnd w:id="24"/>
      <w:r>
        <w:rPr>
          <w:rFonts w:cs="Arial"/>
          <w:lang w:val="en-US"/>
        </w:rPr>
        <w:t xml:space="preserve"> </w:t>
      </w:r>
    </w:p>
    <w:p w14:paraId="0AE27DCF" w14:textId="77777777" w:rsidR="00E46765" w:rsidRPr="00394924" w:rsidRDefault="00E46765" w:rsidP="00E46765">
      <w:pPr>
        <w:pStyle w:val="Observation"/>
        <w:numPr>
          <w:ilvl w:val="0"/>
          <w:numId w:val="29"/>
        </w:numPr>
        <w:ind w:left="1701" w:hanging="1701"/>
        <w:rPr>
          <w:lang w:val="en-US"/>
        </w:rPr>
      </w:pPr>
      <w:bookmarkStart w:id="25" w:name="_Toc503186897"/>
      <w:bookmarkStart w:id="26" w:name="_Toc503181541"/>
      <w:bookmarkStart w:id="27" w:name="_Toc503180885"/>
      <w:bookmarkStart w:id="28" w:name="_Toc503180831"/>
      <w:bookmarkStart w:id="29" w:name="_Toc503180825"/>
      <w:bookmarkStart w:id="30" w:name="_Toc503180761"/>
      <w:bookmarkStart w:id="31" w:name="_Toc503180748"/>
      <w:bookmarkStart w:id="32" w:name="_Toc503180668"/>
      <w:bookmarkStart w:id="33" w:name="_Toc503180640"/>
      <w:bookmarkStart w:id="34" w:name="_Toc503180284"/>
      <w:bookmarkStart w:id="35" w:name="_Toc503179296"/>
      <w:r w:rsidRPr="00394924">
        <w:rPr>
          <w:lang w:val="en-US"/>
        </w:rPr>
        <w:t>PDCCH repetition can lead to additional UE complexity regarding PDCCH monitoring and blind decoding.</w:t>
      </w:r>
      <w:bookmarkEnd w:id="25"/>
      <w:bookmarkEnd w:id="26"/>
      <w:bookmarkEnd w:id="27"/>
      <w:bookmarkEnd w:id="28"/>
      <w:bookmarkEnd w:id="29"/>
      <w:bookmarkEnd w:id="30"/>
      <w:bookmarkEnd w:id="31"/>
      <w:bookmarkEnd w:id="32"/>
      <w:bookmarkEnd w:id="33"/>
      <w:bookmarkEnd w:id="34"/>
      <w:bookmarkEnd w:id="35"/>
    </w:p>
    <w:p w14:paraId="2E01129E" w14:textId="77777777" w:rsidR="00E46765" w:rsidRPr="00394924" w:rsidRDefault="00E46765" w:rsidP="00E46765">
      <w:pPr>
        <w:rPr>
          <w:rFonts w:cs="Arial"/>
          <w:lang w:val="en-US"/>
        </w:rPr>
      </w:pPr>
    </w:p>
    <w:p w14:paraId="7A33F583" w14:textId="55030858" w:rsidR="00E46765" w:rsidRDefault="00E46765" w:rsidP="00E46765">
      <w:pPr>
        <w:rPr>
          <w:rFonts w:cs="Arial"/>
          <w:lang w:val="en-US"/>
        </w:rPr>
      </w:pPr>
      <w:r>
        <w:rPr>
          <w:rFonts w:cs="Arial"/>
          <w:lang w:val="en-US"/>
        </w:rPr>
        <w:t xml:space="preserve">Essentially, PDCCH repetition provides similar effect to increasing the AL which lowers the code rate and improves PDCCH performance. Note that </w:t>
      </w:r>
      <w:r w:rsidR="00150C8C">
        <w:rPr>
          <w:rFonts w:cs="Arial"/>
          <w:lang w:val="en-US"/>
        </w:rPr>
        <w:t xml:space="preserve">although </w:t>
      </w:r>
      <w:r>
        <w:rPr>
          <w:rFonts w:cs="Arial"/>
          <w:lang w:val="en-US"/>
        </w:rPr>
        <w:t xml:space="preserve">using high AL also increases blind decoding complexity, this can be remedied by limiting the number of PDCCH candidates in a search space for high AL to only a small number. </w:t>
      </w:r>
    </w:p>
    <w:p w14:paraId="365E92AF" w14:textId="77777777" w:rsidR="00E46765" w:rsidRPr="00394924" w:rsidRDefault="00E46765" w:rsidP="00E46765">
      <w:pPr>
        <w:pStyle w:val="Observation"/>
        <w:numPr>
          <w:ilvl w:val="0"/>
          <w:numId w:val="29"/>
        </w:numPr>
        <w:ind w:left="1701" w:hanging="1701"/>
        <w:rPr>
          <w:lang w:val="en-US"/>
        </w:rPr>
      </w:pPr>
      <w:bookmarkStart w:id="36" w:name="_Toc503186898"/>
      <w:bookmarkStart w:id="37" w:name="_Toc503181542"/>
      <w:bookmarkStart w:id="38" w:name="_Toc503180886"/>
      <w:bookmarkStart w:id="39" w:name="_Toc503180832"/>
      <w:bookmarkStart w:id="40" w:name="_Toc503180826"/>
      <w:bookmarkStart w:id="41" w:name="_Toc503180762"/>
      <w:bookmarkStart w:id="42" w:name="_Toc503180749"/>
      <w:bookmarkStart w:id="43" w:name="_Toc503180669"/>
      <w:bookmarkStart w:id="44" w:name="_Toc503180641"/>
      <w:bookmarkStart w:id="45" w:name="_Toc503180285"/>
      <w:bookmarkStart w:id="46" w:name="_Toc503179297"/>
      <w:r>
        <w:rPr>
          <w:rFonts w:cs="Arial"/>
          <w:lang w:val="en-US"/>
        </w:rPr>
        <w:t>Increase in AL provides similar enhancement as</w:t>
      </w:r>
      <w:r>
        <w:rPr>
          <w:lang w:val="en-US"/>
        </w:rPr>
        <w:t xml:space="preserve"> </w:t>
      </w:r>
      <w:r w:rsidRPr="00394924">
        <w:rPr>
          <w:lang w:val="en-US"/>
        </w:rPr>
        <w:t>PDCCH repetition</w:t>
      </w:r>
      <w:r>
        <w:rPr>
          <w:rFonts w:cs="Arial"/>
          <w:lang w:val="en-US"/>
        </w:rPr>
        <w:t>.</w:t>
      </w:r>
      <w:bookmarkEnd w:id="36"/>
      <w:bookmarkEnd w:id="37"/>
      <w:bookmarkEnd w:id="38"/>
      <w:bookmarkEnd w:id="39"/>
      <w:bookmarkEnd w:id="40"/>
      <w:bookmarkEnd w:id="41"/>
      <w:bookmarkEnd w:id="42"/>
      <w:bookmarkEnd w:id="43"/>
      <w:bookmarkEnd w:id="44"/>
      <w:bookmarkEnd w:id="45"/>
      <w:bookmarkEnd w:id="46"/>
      <w:r>
        <w:rPr>
          <w:rFonts w:cs="Arial"/>
          <w:lang w:val="en-US"/>
        </w:rPr>
        <w:t xml:space="preserve"> </w:t>
      </w:r>
    </w:p>
    <w:p w14:paraId="652E1339" w14:textId="77777777" w:rsidR="00E46765" w:rsidRPr="00394924" w:rsidRDefault="00E46765" w:rsidP="00E46765">
      <w:pPr>
        <w:pStyle w:val="Observation"/>
        <w:numPr>
          <w:ilvl w:val="0"/>
          <w:numId w:val="0"/>
        </w:numPr>
        <w:ind w:left="1701" w:hanging="1701"/>
        <w:rPr>
          <w:lang w:val="en-US"/>
        </w:rPr>
      </w:pPr>
    </w:p>
    <w:p w14:paraId="33A44EC5" w14:textId="4F355A23" w:rsidR="00E46765" w:rsidRDefault="00E46765" w:rsidP="00E46765">
      <w:pPr>
        <w:rPr>
          <w:rFonts w:cs="Arial"/>
          <w:lang w:val="en-US"/>
        </w:rPr>
      </w:pPr>
      <w:r>
        <w:rPr>
          <w:rFonts w:cs="Arial"/>
          <w:lang w:val="en-US"/>
        </w:rPr>
        <w:t>Existing PDCCH design such as support for AL16 and potential support for compact DCI toge</w:t>
      </w:r>
      <w:r w:rsidR="003F6B9C">
        <w:rPr>
          <w:rFonts w:cs="Arial"/>
          <w:lang w:val="en-US"/>
        </w:rPr>
        <w:t>ther with the assumption of 4 RX</w:t>
      </w:r>
      <w:r>
        <w:rPr>
          <w:rFonts w:cs="Arial"/>
          <w:lang w:val="en-US"/>
        </w:rPr>
        <w:t xml:space="preserve"> antenna at the UE may be sufficient for PDCCH performance to fulfil the URLLC requirement. Considering that URLLC UE is expected to have even higher capability than UE supporting only eMBB, it could be possible that no further PDCCH enhancement for URLLC may be required. </w:t>
      </w:r>
    </w:p>
    <w:p w14:paraId="416EA5F8" w14:textId="77777777" w:rsidR="00E46765" w:rsidRDefault="00E46765" w:rsidP="00E46765">
      <w:pPr>
        <w:pStyle w:val="Observation"/>
        <w:numPr>
          <w:ilvl w:val="0"/>
          <w:numId w:val="0"/>
        </w:numPr>
        <w:rPr>
          <w:rFonts w:cs="Arial"/>
          <w:lang w:val="en-US"/>
        </w:rPr>
      </w:pPr>
    </w:p>
    <w:p w14:paraId="4CE20318" w14:textId="77777777" w:rsidR="00E46765" w:rsidRPr="00394924" w:rsidRDefault="00E46765" w:rsidP="00E46765">
      <w:pPr>
        <w:pStyle w:val="Proposal"/>
        <w:numPr>
          <w:ilvl w:val="0"/>
          <w:numId w:val="30"/>
        </w:numPr>
        <w:tabs>
          <w:tab w:val="clear" w:pos="1304"/>
          <w:tab w:val="num" w:pos="2474"/>
        </w:tabs>
        <w:ind w:left="1701" w:hanging="1701"/>
        <w:rPr>
          <w:lang w:val="en-US"/>
        </w:rPr>
      </w:pPr>
      <w:bookmarkStart w:id="47" w:name="_Toc503181543"/>
      <w:bookmarkStart w:id="48" w:name="_Toc503180887"/>
      <w:bookmarkStart w:id="49" w:name="_Toc503180286"/>
      <w:bookmarkStart w:id="50" w:name="_Toc503179299"/>
      <w:r w:rsidRPr="00394924">
        <w:rPr>
          <w:lang w:val="en-US"/>
        </w:rPr>
        <w:t xml:space="preserve">Further study the requirement and performance of URLLC PDCCH based on AL16 and </w:t>
      </w:r>
      <w:r>
        <w:rPr>
          <w:rFonts w:cs="Arial"/>
          <w:lang w:val="en-US"/>
        </w:rPr>
        <w:t>support of compact DCI and even higher UE capability</w:t>
      </w:r>
      <w:r w:rsidRPr="00394924">
        <w:rPr>
          <w:lang w:val="en-US"/>
        </w:rPr>
        <w:t xml:space="preserve"> to identify the need of PDCCH repetition.</w:t>
      </w:r>
      <w:bookmarkEnd w:id="47"/>
      <w:bookmarkEnd w:id="48"/>
      <w:bookmarkEnd w:id="49"/>
      <w:bookmarkEnd w:id="50"/>
      <w:r w:rsidRPr="00394924">
        <w:rPr>
          <w:lang w:val="en-US"/>
        </w:rPr>
        <w:t xml:space="preserve"> </w:t>
      </w:r>
    </w:p>
    <w:p w14:paraId="159D8E0E" w14:textId="77777777" w:rsidR="00E46765" w:rsidRPr="00394924" w:rsidRDefault="00E46765" w:rsidP="00E46765">
      <w:pPr>
        <w:pStyle w:val="Observation"/>
        <w:numPr>
          <w:ilvl w:val="0"/>
          <w:numId w:val="0"/>
        </w:numPr>
        <w:rPr>
          <w:rStyle w:val="Emphasis"/>
          <w:lang w:val="en-US"/>
        </w:rPr>
      </w:pPr>
    </w:p>
    <w:p w14:paraId="585F7CDC" w14:textId="77777777" w:rsidR="00E46765" w:rsidRDefault="00E46765" w:rsidP="00E46765">
      <w:pPr>
        <w:pStyle w:val="Heading1"/>
        <w:numPr>
          <w:ilvl w:val="0"/>
          <w:numId w:val="26"/>
        </w:numPr>
        <w:textAlignment w:val="auto"/>
        <w:rPr>
          <w:lang w:val="en-US"/>
        </w:rPr>
      </w:pPr>
      <w:r>
        <w:rPr>
          <w:lang w:val="en-US"/>
        </w:rPr>
        <w:t>Conclusion</w:t>
      </w:r>
    </w:p>
    <w:p w14:paraId="6245F297" w14:textId="77777777" w:rsidR="00E46765" w:rsidRPr="00394924" w:rsidRDefault="00E46765" w:rsidP="00E46765">
      <w:pPr>
        <w:rPr>
          <w:lang w:val="en-US"/>
        </w:rPr>
      </w:pPr>
      <w:r w:rsidRPr="00394924">
        <w:rPr>
          <w:lang w:val="en-US"/>
        </w:rPr>
        <w:t xml:space="preserve">In section </w:t>
      </w:r>
      <w:r>
        <w:rPr>
          <w:highlight w:val="cyan"/>
        </w:rPr>
        <w:fldChar w:fldCharType="begin"/>
      </w:r>
      <w:r w:rsidRPr="00394924">
        <w:rPr>
          <w:lang w:val="en-US"/>
        </w:rPr>
        <w:instrText xml:space="preserve"> REF _Ref178064866 \r \h </w:instrText>
      </w:r>
      <w:r>
        <w:rPr>
          <w:highlight w:val="cyan"/>
        </w:rPr>
      </w:r>
      <w:r>
        <w:rPr>
          <w:highlight w:val="cyan"/>
        </w:rPr>
        <w:fldChar w:fldCharType="separate"/>
      </w:r>
      <w:r w:rsidRPr="00394924">
        <w:rPr>
          <w:lang w:val="en-US"/>
        </w:rPr>
        <w:t>2</w:t>
      </w:r>
      <w:r>
        <w:rPr>
          <w:highlight w:val="cyan"/>
        </w:rPr>
        <w:fldChar w:fldCharType="end"/>
      </w:r>
      <w:r w:rsidRPr="00394924">
        <w:rPr>
          <w:lang w:val="en-US"/>
        </w:rPr>
        <w:t xml:space="preserve"> we made the following observations</w:t>
      </w:r>
    </w:p>
    <w:p w14:paraId="30786F8F" w14:textId="77777777" w:rsidR="00E46765" w:rsidRDefault="00E46765" w:rsidP="00E46765">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sv-SE"/>
        </w:rPr>
        <w:tab/>
      </w:r>
      <w:r>
        <w:t>Existing PDCCH design and improved UE capability in terms of increased no. of receive antennas provide a strong basis for PDCCH reliability enhancement fulfilling URLLC requirements.</w:t>
      </w:r>
    </w:p>
    <w:p w14:paraId="175C9F96" w14:textId="77777777" w:rsidR="00E46765" w:rsidRDefault="00E46765" w:rsidP="00E46765">
      <w:pPr>
        <w:pStyle w:val="TOC1"/>
        <w:rPr>
          <w:rFonts w:asciiTheme="minorHAnsi" w:eastAsiaTheme="minorEastAsia" w:hAnsiTheme="minorHAnsi" w:cstheme="minorBidi"/>
          <w:b w:val="0"/>
          <w:sz w:val="22"/>
          <w:lang w:eastAsia="sv-SE"/>
        </w:rPr>
      </w:pPr>
      <w:r>
        <w:t>Observation 2</w:t>
      </w:r>
      <w:r>
        <w:rPr>
          <w:rFonts w:asciiTheme="minorHAnsi" w:eastAsiaTheme="minorEastAsia" w:hAnsiTheme="minorHAnsi" w:cstheme="minorBidi"/>
          <w:b w:val="0"/>
          <w:sz w:val="22"/>
          <w:lang w:eastAsia="sv-SE"/>
        </w:rPr>
        <w:tab/>
      </w:r>
      <w:r>
        <w:t xml:space="preserve">PDCCH repetition </w:t>
      </w:r>
      <w:r>
        <w:rPr>
          <w:rFonts w:cs="Arial"/>
        </w:rPr>
        <w:t>provides extra robustness for DL control information in general but also requires extra resources in time, frequency, or space.</w:t>
      </w:r>
    </w:p>
    <w:p w14:paraId="576300C7" w14:textId="77777777" w:rsidR="00E46765" w:rsidRDefault="00E46765" w:rsidP="00E46765">
      <w:pPr>
        <w:pStyle w:val="TOC1"/>
        <w:rPr>
          <w:rFonts w:asciiTheme="minorHAnsi" w:eastAsiaTheme="minorEastAsia" w:hAnsiTheme="minorHAnsi" w:cstheme="minorBidi"/>
          <w:b w:val="0"/>
          <w:sz w:val="22"/>
          <w:lang w:eastAsia="sv-SE"/>
        </w:rPr>
      </w:pPr>
      <w:r>
        <w:t>Observation 3</w:t>
      </w:r>
      <w:r>
        <w:rPr>
          <w:rFonts w:asciiTheme="minorHAnsi" w:eastAsiaTheme="minorEastAsia" w:hAnsiTheme="minorHAnsi" w:cstheme="minorBidi"/>
          <w:b w:val="0"/>
          <w:sz w:val="22"/>
          <w:lang w:eastAsia="sv-SE"/>
        </w:rPr>
        <w:tab/>
      </w:r>
      <w:r>
        <w:t>PDCCH repetition can lead to additional UE complexity regarding PDCCH monitoring and blind decoding.</w:t>
      </w:r>
    </w:p>
    <w:p w14:paraId="0C21B07B" w14:textId="77777777" w:rsidR="00E46765" w:rsidRDefault="00E46765" w:rsidP="00E46765">
      <w:pPr>
        <w:pStyle w:val="TOC1"/>
        <w:rPr>
          <w:rFonts w:asciiTheme="minorHAnsi" w:eastAsiaTheme="minorEastAsia" w:hAnsiTheme="minorHAnsi" w:cstheme="minorBidi"/>
          <w:b w:val="0"/>
          <w:sz w:val="22"/>
          <w:lang w:eastAsia="sv-SE"/>
        </w:rPr>
      </w:pPr>
      <w:r>
        <w:t>Observation 4</w:t>
      </w:r>
      <w:r>
        <w:rPr>
          <w:rFonts w:asciiTheme="minorHAnsi" w:eastAsiaTheme="minorEastAsia" w:hAnsiTheme="minorHAnsi" w:cstheme="minorBidi"/>
          <w:b w:val="0"/>
          <w:sz w:val="22"/>
          <w:lang w:eastAsia="sv-SE"/>
        </w:rPr>
        <w:tab/>
      </w:r>
      <w:r>
        <w:rPr>
          <w:rFonts w:cs="Arial"/>
        </w:rPr>
        <w:t>Increase in AL provides similar enhancement as</w:t>
      </w:r>
      <w:r>
        <w:t xml:space="preserve"> PDCCH repetition</w:t>
      </w:r>
      <w:r>
        <w:rPr>
          <w:rFonts w:cs="Arial"/>
        </w:rPr>
        <w:t>.</w:t>
      </w:r>
    </w:p>
    <w:p w14:paraId="037C1E87" w14:textId="77777777" w:rsidR="00E46765" w:rsidRPr="00394924" w:rsidRDefault="00E46765" w:rsidP="00E46765">
      <w:pPr>
        <w:pStyle w:val="BodyText"/>
        <w:rPr>
          <w:b/>
          <w:bCs/>
          <w:lang w:val="en-US"/>
        </w:rPr>
      </w:pPr>
      <w:r>
        <w:rPr>
          <w:b/>
          <w:bCs/>
        </w:rPr>
        <w:fldChar w:fldCharType="end"/>
      </w:r>
    </w:p>
    <w:p w14:paraId="4BABCB3A" w14:textId="77777777" w:rsidR="00E46765" w:rsidRPr="00394924" w:rsidRDefault="00E46765" w:rsidP="00E46765">
      <w:pPr>
        <w:pStyle w:val="BodyText"/>
        <w:rPr>
          <w:noProof/>
          <w:lang w:val="en-US"/>
        </w:rPr>
      </w:pPr>
      <w:r w:rsidRPr="00394924">
        <w:rPr>
          <w:lang w:val="en-US"/>
        </w:rPr>
        <w:t xml:space="preserve">Based on the discussion in section </w:t>
      </w:r>
      <w:r>
        <w:rPr>
          <w:highlight w:val="cyan"/>
        </w:rPr>
        <w:fldChar w:fldCharType="begin"/>
      </w:r>
      <w:r w:rsidRPr="00394924">
        <w:rPr>
          <w:lang w:val="en-US"/>
        </w:rPr>
        <w:instrText xml:space="preserve"> REF _Ref178064866 \r \h </w:instrText>
      </w:r>
      <w:r>
        <w:rPr>
          <w:highlight w:val="cyan"/>
        </w:rPr>
      </w:r>
      <w:r>
        <w:rPr>
          <w:highlight w:val="cyan"/>
        </w:rPr>
        <w:fldChar w:fldCharType="separate"/>
      </w:r>
      <w:r w:rsidRPr="00394924">
        <w:rPr>
          <w:lang w:val="en-US"/>
        </w:rPr>
        <w:t>2</w:t>
      </w:r>
      <w:r>
        <w:rPr>
          <w:highlight w:val="cyan"/>
        </w:rPr>
        <w:fldChar w:fldCharType="end"/>
      </w:r>
      <w:r w:rsidRPr="00394924">
        <w:rPr>
          <w:lang w:val="en-US"/>
        </w:rPr>
        <w:t xml:space="preserve"> we propose the following:</w:t>
      </w:r>
      <w:r>
        <w:rPr>
          <w:b/>
          <w:bCs/>
        </w:rPr>
        <w:fldChar w:fldCharType="begin"/>
      </w:r>
      <w:r w:rsidRPr="00394924">
        <w:rPr>
          <w:b/>
          <w:bCs/>
          <w:lang w:val="en-US"/>
        </w:rPr>
        <w:instrText xml:space="preserve"> TOC \f \n \p " " \t "Proposal;1" </w:instrText>
      </w:r>
      <w:r>
        <w:rPr>
          <w:b/>
          <w:bCs/>
        </w:rPr>
        <w:fldChar w:fldCharType="separate"/>
      </w:r>
    </w:p>
    <w:p w14:paraId="18A05407" w14:textId="77777777" w:rsidR="00E46765" w:rsidRDefault="00E46765" w:rsidP="00E46765">
      <w:pPr>
        <w:pStyle w:val="TOC1"/>
        <w:rPr>
          <w:rFonts w:asciiTheme="minorHAnsi" w:eastAsiaTheme="minorEastAsia" w:hAnsiTheme="minorHAnsi" w:cstheme="minorBidi"/>
          <w:b w:val="0"/>
          <w:sz w:val="22"/>
          <w:lang w:eastAsia="sv-SE"/>
        </w:rPr>
      </w:pPr>
      <w:r>
        <w:t>Proposal 1</w:t>
      </w:r>
      <w:r>
        <w:rPr>
          <w:rFonts w:asciiTheme="minorHAnsi" w:eastAsiaTheme="minorEastAsia" w:hAnsiTheme="minorHAnsi" w:cstheme="minorBidi"/>
          <w:b w:val="0"/>
          <w:sz w:val="22"/>
          <w:lang w:eastAsia="sv-SE"/>
        </w:rPr>
        <w:tab/>
      </w:r>
      <w:r>
        <w:t xml:space="preserve">Further study the requirement and performance of URLLC PDCCH based on AL16 and </w:t>
      </w:r>
      <w:r>
        <w:rPr>
          <w:rFonts w:cs="Arial"/>
        </w:rPr>
        <w:t>support of compact DCI and even higher UE capability</w:t>
      </w:r>
      <w:r>
        <w:t xml:space="preserve"> to identify the need of PDCCH repetition.</w:t>
      </w:r>
    </w:p>
    <w:p w14:paraId="59C44FDB" w14:textId="77777777" w:rsidR="00E46765" w:rsidRPr="00394924" w:rsidRDefault="00E46765" w:rsidP="00E46765">
      <w:pPr>
        <w:rPr>
          <w:rFonts w:cs="Arial"/>
          <w:lang w:val="en-US"/>
        </w:rPr>
      </w:pPr>
      <w:r>
        <w:rPr>
          <w:b/>
          <w:bCs/>
        </w:rPr>
        <w:fldChar w:fldCharType="end"/>
      </w:r>
    </w:p>
    <w:p w14:paraId="5B38710E" w14:textId="77777777" w:rsidR="00E46765" w:rsidRDefault="00E46765" w:rsidP="00E46765">
      <w:pPr>
        <w:pStyle w:val="Heading1"/>
        <w:numPr>
          <w:ilvl w:val="0"/>
          <w:numId w:val="26"/>
        </w:numPr>
        <w:textAlignment w:val="auto"/>
        <w:rPr>
          <w:lang w:val="en-US"/>
        </w:rPr>
      </w:pPr>
      <w:bookmarkStart w:id="51" w:name="_In-sequence_SDU_delivery"/>
      <w:bookmarkEnd w:id="51"/>
      <w:r>
        <w:rPr>
          <w:lang w:val="en-US"/>
        </w:rPr>
        <w:t>References</w:t>
      </w:r>
    </w:p>
    <w:p w14:paraId="1F560087" w14:textId="77777777" w:rsidR="00E46765" w:rsidRPr="00394924" w:rsidRDefault="00E46765" w:rsidP="00E46765">
      <w:pPr>
        <w:pStyle w:val="Reference"/>
        <w:numPr>
          <w:ilvl w:val="0"/>
          <w:numId w:val="15"/>
        </w:numPr>
        <w:rPr>
          <w:lang w:val="en-US"/>
        </w:rPr>
      </w:pPr>
      <w:r w:rsidRPr="00394924">
        <w:rPr>
          <w:lang w:val="en-US"/>
        </w:rPr>
        <w:t>RP-171485 – “Revised WID on New Radio Access Technology”, NTT DOCOMO, INC, RAN75, West Palm Beach, USA, June 2017.</w:t>
      </w:r>
    </w:p>
    <w:p w14:paraId="415EF7BC" w14:textId="77777777" w:rsidR="00E46765" w:rsidRPr="00BF1310" w:rsidRDefault="00E46765" w:rsidP="00E46765">
      <w:pPr>
        <w:pStyle w:val="Reference"/>
        <w:numPr>
          <w:ilvl w:val="0"/>
          <w:numId w:val="15"/>
        </w:numPr>
        <w:rPr>
          <w:lang w:val="en-US"/>
        </w:rPr>
      </w:pPr>
      <w:r w:rsidRPr="00394924">
        <w:rPr>
          <w:lang w:val="en-US"/>
        </w:rPr>
        <w:t xml:space="preserve">3GPP TR 38.913 – “Study on Scenarios and Requirements for Next Generation Access Technologies”, </w:t>
      </w:r>
      <w:r w:rsidRPr="00BF1310">
        <w:rPr>
          <w:lang w:val="en-US"/>
        </w:rPr>
        <w:t>v14.2.0</w:t>
      </w:r>
    </w:p>
    <w:p w14:paraId="7352C614" w14:textId="2EA70632" w:rsidR="00E46765" w:rsidRPr="00BF1310" w:rsidRDefault="00E46765" w:rsidP="00BF1310">
      <w:pPr>
        <w:pStyle w:val="Reference"/>
        <w:numPr>
          <w:ilvl w:val="0"/>
          <w:numId w:val="15"/>
        </w:numPr>
        <w:rPr>
          <w:lang w:val="en-US"/>
        </w:rPr>
      </w:pPr>
      <w:r w:rsidRPr="00BF1310">
        <w:rPr>
          <w:lang w:val="en-US"/>
        </w:rPr>
        <w:t>R1-</w:t>
      </w:r>
      <w:r w:rsidR="00BF1310" w:rsidRPr="00BF1310">
        <w:rPr>
          <w:lang w:val="en-US"/>
        </w:rPr>
        <w:t>1800961</w:t>
      </w:r>
      <w:r w:rsidRPr="00BF1310">
        <w:rPr>
          <w:lang w:val="en-US"/>
        </w:rPr>
        <w:t>, On PDCCH for ultra-high reliable transmission, Ericsson</w:t>
      </w:r>
    </w:p>
    <w:p w14:paraId="6DED0660" w14:textId="60350C02" w:rsidR="0042218A" w:rsidRPr="00BF1310" w:rsidRDefault="0042218A" w:rsidP="0042218A">
      <w:pPr>
        <w:pStyle w:val="Reference"/>
        <w:numPr>
          <w:ilvl w:val="0"/>
          <w:numId w:val="15"/>
        </w:numPr>
        <w:rPr>
          <w:lang w:val="en-US"/>
        </w:rPr>
      </w:pPr>
      <w:r w:rsidRPr="00BF1310">
        <w:rPr>
          <w:lang w:val="en-US"/>
        </w:rPr>
        <w:t>RP-172788    Mandatory 4Rx UE capability for NR</w:t>
      </w:r>
    </w:p>
    <w:p w14:paraId="08207EA1" w14:textId="58FC9A15" w:rsidR="00FD73B9" w:rsidRPr="00BF1310" w:rsidRDefault="00FD73B9" w:rsidP="00E46765">
      <w:pPr>
        <w:rPr>
          <w:lang w:val="en-US"/>
        </w:rPr>
      </w:pPr>
    </w:p>
    <w:sectPr w:rsidR="00FD73B9" w:rsidRPr="00BF13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C720F" w14:textId="77777777" w:rsidR="004B4B13" w:rsidRDefault="004B4B13">
      <w:r>
        <w:separator/>
      </w:r>
    </w:p>
  </w:endnote>
  <w:endnote w:type="continuationSeparator" w:id="0">
    <w:p w14:paraId="5120A3E1" w14:textId="77777777" w:rsidR="004B4B13" w:rsidRDefault="004B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5870D" w14:textId="77777777" w:rsidR="004B4B13" w:rsidRDefault="004B4B13">
      <w:r>
        <w:separator/>
      </w:r>
    </w:p>
  </w:footnote>
  <w:footnote w:type="continuationSeparator" w:id="0">
    <w:p w14:paraId="14778EA5" w14:textId="77777777" w:rsidR="004B4B13" w:rsidRDefault="004B4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3"/>
  </w:num>
  <w:num w:numId="19">
    <w:abstractNumId w:val="11"/>
  </w:num>
  <w:num w:numId="20">
    <w:abstractNumId w:val="9"/>
  </w:num>
  <w:num w:numId="21">
    <w:abstractNumId w:val="21"/>
  </w:num>
  <w:num w:numId="22">
    <w:abstractNumId w:val="5"/>
  </w:num>
  <w:num w:numId="23">
    <w:abstractNumId w:val="22"/>
  </w:num>
  <w:num w:numId="24">
    <w:abstractNumId w:val="23"/>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7CDC"/>
    <w:rsid w:val="00011B28"/>
    <w:rsid w:val="00015905"/>
    <w:rsid w:val="00015D15"/>
    <w:rsid w:val="0002531D"/>
    <w:rsid w:val="0002564D"/>
    <w:rsid w:val="00025ECA"/>
    <w:rsid w:val="000325B8"/>
    <w:rsid w:val="00034C15"/>
    <w:rsid w:val="00036BA1"/>
    <w:rsid w:val="000422E2"/>
    <w:rsid w:val="00042F22"/>
    <w:rsid w:val="000444EF"/>
    <w:rsid w:val="00047616"/>
    <w:rsid w:val="000519E1"/>
    <w:rsid w:val="00052A07"/>
    <w:rsid w:val="000534E3"/>
    <w:rsid w:val="0005606A"/>
    <w:rsid w:val="00057117"/>
    <w:rsid w:val="000616E7"/>
    <w:rsid w:val="00064338"/>
    <w:rsid w:val="0006487E"/>
    <w:rsid w:val="00065E1A"/>
    <w:rsid w:val="00076F0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F"/>
    <w:rsid w:val="000A7AC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46FA"/>
    <w:rsid w:val="00126B4A"/>
    <w:rsid w:val="00132FD0"/>
    <w:rsid w:val="001344C0"/>
    <w:rsid w:val="001346FA"/>
    <w:rsid w:val="00135252"/>
    <w:rsid w:val="00137AB5"/>
    <w:rsid w:val="00137F0B"/>
    <w:rsid w:val="00150C8C"/>
    <w:rsid w:val="00151E23"/>
    <w:rsid w:val="001521A7"/>
    <w:rsid w:val="001526E0"/>
    <w:rsid w:val="001551B5"/>
    <w:rsid w:val="00162F03"/>
    <w:rsid w:val="0016508B"/>
    <w:rsid w:val="001659C1"/>
    <w:rsid w:val="00173A8E"/>
    <w:rsid w:val="001753AE"/>
    <w:rsid w:val="001756A4"/>
    <w:rsid w:val="00177795"/>
    <w:rsid w:val="00180E99"/>
    <w:rsid w:val="0018143F"/>
    <w:rsid w:val="001845DD"/>
    <w:rsid w:val="0019060D"/>
    <w:rsid w:val="00190AC1"/>
    <w:rsid w:val="0019341A"/>
    <w:rsid w:val="00197DF9"/>
    <w:rsid w:val="001A1987"/>
    <w:rsid w:val="001A2564"/>
    <w:rsid w:val="001A6173"/>
    <w:rsid w:val="001A6CBA"/>
    <w:rsid w:val="001A7070"/>
    <w:rsid w:val="001B0D97"/>
    <w:rsid w:val="001B5A5D"/>
    <w:rsid w:val="001C1CE5"/>
    <w:rsid w:val="001C3D2A"/>
    <w:rsid w:val="001D51BA"/>
    <w:rsid w:val="001D6342"/>
    <w:rsid w:val="001D6D53"/>
    <w:rsid w:val="001D7228"/>
    <w:rsid w:val="001E02CE"/>
    <w:rsid w:val="001E58E2"/>
    <w:rsid w:val="001E79FF"/>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646"/>
    <w:rsid w:val="00257543"/>
    <w:rsid w:val="002617E7"/>
    <w:rsid w:val="00264228"/>
    <w:rsid w:val="00264334"/>
    <w:rsid w:val="0026473E"/>
    <w:rsid w:val="00266214"/>
    <w:rsid w:val="00267C83"/>
    <w:rsid w:val="0027144F"/>
    <w:rsid w:val="00271F3A"/>
    <w:rsid w:val="00273278"/>
    <w:rsid w:val="002737F4"/>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3A7F"/>
    <w:rsid w:val="002B450F"/>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3BFC"/>
    <w:rsid w:val="0030501F"/>
    <w:rsid w:val="00307BA1"/>
    <w:rsid w:val="00311617"/>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72A"/>
    <w:rsid w:val="00360EFC"/>
    <w:rsid w:val="00364B46"/>
    <w:rsid w:val="00370E47"/>
    <w:rsid w:val="00371542"/>
    <w:rsid w:val="003742AC"/>
    <w:rsid w:val="0037590C"/>
    <w:rsid w:val="00377CE1"/>
    <w:rsid w:val="00385BF0"/>
    <w:rsid w:val="003939FF"/>
    <w:rsid w:val="00394924"/>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478"/>
    <w:rsid w:val="003D3C45"/>
    <w:rsid w:val="003D5B1F"/>
    <w:rsid w:val="003E15FA"/>
    <w:rsid w:val="003E55E4"/>
    <w:rsid w:val="003E5BB1"/>
    <w:rsid w:val="003E74E3"/>
    <w:rsid w:val="003F05C7"/>
    <w:rsid w:val="003F272A"/>
    <w:rsid w:val="003F2CD4"/>
    <w:rsid w:val="003F6B9C"/>
    <w:rsid w:val="003F6BBE"/>
    <w:rsid w:val="004000E8"/>
    <w:rsid w:val="00402E2B"/>
    <w:rsid w:val="0040512B"/>
    <w:rsid w:val="00405CA5"/>
    <w:rsid w:val="00406EF3"/>
    <w:rsid w:val="00407CD3"/>
    <w:rsid w:val="00410134"/>
    <w:rsid w:val="00410B72"/>
    <w:rsid w:val="00410F18"/>
    <w:rsid w:val="0041263E"/>
    <w:rsid w:val="00413AAC"/>
    <w:rsid w:val="00414595"/>
    <w:rsid w:val="00421105"/>
    <w:rsid w:val="0042218A"/>
    <w:rsid w:val="00423033"/>
    <w:rsid w:val="004242F4"/>
    <w:rsid w:val="004249A4"/>
    <w:rsid w:val="00426B1B"/>
    <w:rsid w:val="00427248"/>
    <w:rsid w:val="00437447"/>
    <w:rsid w:val="00441A92"/>
    <w:rsid w:val="00444F56"/>
    <w:rsid w:val="00446488"/>
    <w:rsid w:val="004517AA"/>
    <w:rsid w:val="00452CAC"/>
    <w:rsid w:val="00457565"/>
    <w:rsid w:val="00457B71"/>
    <w:rsid w:val="004669E2"/>
    <w:rsid w:val="00470C31"/>
    <w:rsid w:val="00472D75"/>
    <w:rsid w:val="004734D0"/>
    <w:rsid w:val="0047556B"/>
    <w:rsid w:val="00477768"/>
    <w:rsid w:val="00492778"/>
    <w:rsid w:val="00492BC5"/>
    <w:rsid w:val="004964F1"/>
    <w:rsid w:val="004A144F"/>
    <w:rsid w:val="004A16BC"/>
    <w:rsid w:val="004A248D"/>
    <w:rsid w:val="004A2B94"/>
    <w:rsid w:val="004B4B13"/>
    <w:rsid w:val="004B7C0C"/>
    <w:rsid w:val="004C3898"/>
    <w:rsid w:val="004D3264"/>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362"/>
    <w:rsid w:val="00540748"/>
    <w:rsid w:val="00546970"/>
    <w:rsid w:val="00547F4D"/>
    <w:rsid w:val="00550419"/>
    <w:rsid w:val="00554E19"/>
    <w:rsid w:val="005552E0"/>
    <w:rsid w:val="00560225"/>
    <w:rsid w:val="00560BB1"/>
    <w:rsid w:val="0056121F"/>
    <w:rsid w:val="0056585F"/>
    <w:rsid w:val="00572505"/>
    <w:rsid w:val="00572851"/>
    <w:rsid w:val="00572A3D"/>
    <w:rsid w:val="005741BA"/>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6D9D"/>
    <w:rsid w:val="005C74FB"/>
    <w:rsid w:val="005D1602"/>
    <w:rsid w:val="005D69EE"/>
    <w:rsid w:val="005E385F"/>
    <w:rsid w:val="005E5B81"/>
    <w:rsid w:val="005F2CB1"/>
    <w:rsid w:val="005F3025"/>
    <w:rsid w:val="005F618C"/>
    <w:rsid w:val="005F6A6B"/>
    <w:rsid w:val="005F70BD"/>
    <w:rsid w:val="006005DE"/>
    <w:rsid w:val="0060283C"/>
    <w:rsid w:val="006036DD"/>
    <w:rsid w:val="00604F14"/>
    <w:rsid w:val="00611B83"/>
    <w:rsid w:val="00613257"/>
    <w:rsid w:val="00615E31"/>
    <w:rsid w:val="00620A71"/>
    <w:rsid w:val="00620D80"/>
    <w:rsid w:val="006212A9"/>
    <w:rsid w:val="006234A6"/>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344"/>
    <w:rsid w:val="006A697B"/>
    <w:rsid w:val="006A7AFF"/>
    <w:rsid w:val="006B1816"/>
    <w:rsid w:val="006B2099"/>
    <w:rsid w:val="006B50CF"/>
    <w:rsid w:val="006B5B0F"/>
    <w:rsid w:val="006C03B8"/>
    <w:rsid w:val="006C4BED"/>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8D3"/>
    <w:rsid w:val="00715B9A"/>
    <w:rsid w:val="00725A7A"/>
    <w:rsid w:val="00726EA6"/>
    <w:rsid w:val="00727208"/>
    <w:rsid w:val="00727596"/>
    <w:rsid w:val="00727680"/>
    <w:rsid w:val="00732461"/>
    <w:rsid w:val="007348B1"/>
    <w:rsid w:val="007362A6"/>
    <w:rsid w:val="00736D7D"/>
    <w:rsid w:val="00740E58"/>
    <w:rsid w:val="00743CD9"/>
    <w:rsid w:val="00743EA6"/>
    <w:rsid w:val="007445A0"/>
    <w:rsid w:val="00744B79"/>
    <w:rsid w:val="0074524B"/>
    <w:rsid w:val="00747D8B"/>
    <w:rsid w:val="00751228"/>
    <w:rsid w:val="007516DF"/>
    <w:rsid w:val="00753BAE"/>
    <w:rsid w:val="007571E1"/>
    <w:rsid w:val="007604B2"/>
    <w:rsid w:val="00765281"/>
    <w:rsid w:val="00766BAD"/>
    <w:rsid w:val="00766C8E"/>
    <w:rsid w:val="00767793"/>
    <w:rsid w:val="007730BD"/>
    <w:rsid w:val="007755F2"/>
    <w:rsid w:val="00776971"/>
    <w:rsid w:val="0078177E"/>
    <w:rsid w:val="0078304C"/>
    <w:rsid w:val="00783673"/>
    <w:rsid w:val="00785490"/>
    <w:rsid w:val="007925EA"/>
    <w:rsid w:val="00793CD8"/>
    <w:rsid w:val="00795C92"/>
    <w:rsid w:val="00796231"/>
    <w:rsid w:val="007A1CB3"/>
    <w:rsid w:val="007A1CCD"/>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4610"/>
    <w:rsid w:val="007E4715"/>
    <w:rsid w:val="007E505B"/>
    <w:rsid w:val="007E7091"/>
    <w:rsid w:val="007F172B"/>
    <w:rsid w:val="007F1807"/>
    <w:rsid w:val="00803FAE"/>
    <w:rsid w:val="008043B5"/>
    <w:rsid w:val="0080605F"/>
    <w:rsid w:val="00807786"/>
    <w:rsid w:val="00811FCB"/>
    <w:rsid w:val="008158D6"/>
    <w:rsid w:val="00817196"/>
    <w:rsid w:val="008235DB"/>
    <w:rsid w:val="00824AB4"/>
    <w:rsid w:val="00825C42"/>
    <w:rsid w:val="00825D25"/>
    <w:rsid w:val="00827D6F"/>
    <w:rsid w:val="00833E8B"/>
    <w:rsid w:val="008376AC"/>
    <w:rsid w:val="0084162D"/>
    <w:rsid w:val="008444E8"/>
    <w:rsid w:val="00844E80"/>
    <w:rsid w:val="00846FE7"/>
    <w:rsid w:val="00856911"/>
    <w:rsid w:val="00861FC5"/>
    <w:rsid w:val="008677FD"/>
    <w:rsid w:val="008706D4"/>
    <w:rsid w:val="00870F8A"/>
    <w:rsid w:val="008719A4"/>
    <w:rsid w:val="00871D23"/>
    <w:rsid w:val="00873A7C"/>
    <w:rsid w:val="00874312"/>
    <w:rsid w:val="0087437C"/>
    <w:rsid w:val="00875CD7"/>
    <w:rsid w:val="00876B4D"/>
    <w:rsid w:val="00877F18"/>
    <w:rsid w:val="00884C6F"/>
    <w:rsid w:val="00890BC7"/>
    <w:rsid w:val="00894A88"/>
    <w:rsid w:val="00894B89"/>
    <w:rsid w:val="00895386"/>
    <w:rsid w:val="008A21FF"/>
    <w:rsid w:val="008A25F1"/>
    <w:rsid w:val="008A2CE2"/>
    <w:rsid w:val="008A30AC"/>
    <w:rsid w:val="008A44B8"/>
    <w:rsid w:val="008A4D59"/>
    <w:rsid w:val="008A51A8"/>
    <w:rsid w:val="008A54C7"/>
    <w:rsid w:val="008A77D8"/>
    <w:rsid w:val="008B0483"/>
    <w:rsid w:val="008B120C"/>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F08"/>
    <w:rsid w:val="00931BD9"/>
    <w:rsid w:val="00933518"/>
    <w:rsid w:val="00933F5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378"/>
    <w:rsid w:val="00984DA7"/>
    <w:rsid w:val="00985253"/>
    <w:rsid w:val="009853B3"/>
    <w:rsid w:val="00987690"/>
    <w:rsid w:val="00990630"/>
    <w:rsid w:val="00991761"/>
    <w:rsid w:val="00994DCA"/>
    <w:rsid w:val="009960EC"/>
    <w:rsid w:val="009970DD"/>
    <w:rsid w:val="009A0FBA"/>
    <w:rsid w:val="009A1601"/>
    <w:rsid w:val="009A462D"/>
    <w:rsid w:val="009A539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48A8"/>
    <w:rsid w:val="00A04F49"/>
    <w:rsid w:val="00A1060C"/>
    <w:rsid w:val="00A13E54"/>
    <w:rsid w:val="00A17F63"/>
    <w:rsid w:val="00A2193B"/>
    <w:rsid w:val="00A2351A"/>
    <w:rsid w:val="00A264A9"/>
    <w:rsid w:val="00A27785"/>
    <w:rsid w:val="00A30187"/>
    <w:rsid w:val="00A3448A"/>
    <w:rsid w:val="00A36297"/>
    <w:rsid w:val="00A41E2B"/>
    <w:rsid w:val="00A41F64"/>
    <w:rsid w:val="00A44B21"/>
    <w:rsid w:val="00A45B74"/>
    <w:rsid w:val="00A52E1D"/>
    <w:rsid w:val="00A5518F"/>
    <w:rsid w:val="00A61499"/>
    <w:rsid w:val="00A62A77"/>
    <w:rsid w:val="00A63483"/>
    <w:rsid w:val="00A657D7"/>
    <w:rsid w:val="00A660AC"/>
    <w:rsid w:val="00A67E6C"/>
    <w:rsid w:val="00A71B99"/>
    <w:rsid w:val="00A739D0"/>
    <w:rsid w:val="00A761D4"/>
    <w:rsid w:val="00A77EC4"/>
    <w:rsid w:val="00A92879"/>
    <w:rsid w:val="00A93A21"/>
    <w:rsid w:val="00A9442A"/>
    <w:rsid w:val="00A97146"/>
    <w:rsid w:val="00AA016F"/>
    <w:rsid w:val="00AA0202"/>
    <w:rsid w:val="00AA1ED6"/>
    <w:rsid w:val="00AA51D6"/>
    <w:rsid w:val="00AB0BC8"/>
    <w:rsid w:val="00AB11CA"/>
    <w:rsid w:val="00AB14D9"/>
    <w:rsid w:val="00AB4AB8"/>
    <w:rsid w:val="00AB655E"/>
    <w:rsid w:val="00AC007F"/>
    <w:rsid w:val="00AC2ECD"/>
    <w:rsid w:val="00AC3119"/>
    <w:rsid w:val="00AC49FB"/>
    <w:rsid w:val="00AC5A10"/>
    <w:rsid w:val="00AC5A33"/>
    <w:rsid w:val="00AD0AA3"/>
    <w:rsid w:val="00AD2039"/>
    <w:rsid w:val="00AD300E"/>
    <w:rsid w:val="00AD3F94"/>
    <w:rsid w:val="00AD4A5A"/>
    <w:rsid w:val="00AE27AC"/>
    <w:rsid w:val="00AE2834"/>
    <w:rsid w:val="00AE40E0"/>
    <w:rsid w:val="00AE4DBA"/>
    <w:rsid w:val="00AE4F07"/>
    <w:rsid w:val="00AF1C5D"/>
    <w:rsid w:val="00AF42D7"/>
    <w:rsid w:val="00AF6A9D"/>
    <w:rsid w:val="00B006FE"/>
    <w:rsid w:val="00B007CB"/>
    <w:rsid w:val="00B02AA9"/>
    <w:rsid w:val="00B02FA3"/>
    <w:rsid w:val="00B05084"/>
    <w:rsid w:val="00B07E95"/>
    <w:rsid w:val="00B157F9"/>
    <w:rsid w:val="00B20256"/>
    <w:rsid w:val="00B20D09"/>
    <w:rsid w:val="00B2763F"/>
    <w:rsid w:val="00B27AAC"/>
    <w:rsid w:val="00B304F3"/>
    <w:rsid w:val="00B30929"/>
    <w:rsid w:val="00B326CF"/>
    <w:rsid w:val="00B32A6E"/>
    <w:rsid w:val="00B34C69"/>
    <w:rsid w:val="00B372AA"/>
    <w:rsid w:val="00B40445"/>
    <w:rsid w:val="00B40BEF"/>
    <w:rsid w:val="00B41888"/>
    <w:rsid w:val="00B44FF7"/>
    <w:rsid w:val="00B45A52"/>
    <w:rsid w:val="00B46175"/>
    <w:rsid w:val="00B6188F"/>
    <w:rsid w:val="00B664C7"/>
    <w:rsid w:val="00B739F6"/>
    <w:rsid w:val="00B7698B"/>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3C1F"/>
    <w:rsid w:val="00BD48AC"/>
    <w:rsid w:val="00BD5F1A"/>
    <w:rsid w:val="00BE1234"/>
    <w:rsid w:val="00BE2FA6"/>
    <w:rsid w:val="00BE333F"/>
    <w:rsid w:val="00BE7406"/>
    <w:rsid w:val="00BE7603"/>
    <w:rsid w:val="00BF1310"/>
    <w:rsid w:val="00BF3279"/>
    <w:rsid w:val="00BF74C7"/>
    <w:rsid w:val="00C015F1"/>
    <w:rsid w:val="00C01F33"/>
    <w:rsid w:val="00C02CC6"/>
    <w:rsid w:val="00C040F7"/>
    <w:rsid w:val="00C041B0"/>
    <w:rsid w:val="00C044AB"/>
    <w:rsid w:val="00C04A47"/>
    <w:rsid w:val="00C05706"/>
    <w:rsid w:val="00C07377"/>
    <w:rsid w:val="00C10478"/>
    <w:rsid w:val="00C12107"/>
    <w:rsid w:val="00C14D4B"/>
    <w:rsid w:val="00C154BB"/>
    <w:rsid w:val="00C279B5"/>
    <w:rsid w:val="00C27C45"/>
    <w:rsid w:val="00C3719D"/>
    <w:rsid w:val="00C54995"/>
    <w:rsid w:val="00C54D41"/>
    <w:rsid w:val="00C60783"/>
    <w:rsid w:val="00C6290E"/>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A62D1"/>
    <w:rsid w:val="00CB1F63"/>
    <w:rsid w:val="00CB7170"/>
    <w:rsid w:val="00CC040E"/>
    <w:rsid w:val="00CC111F"/>
    <w:rsid w:val="00CC17DF"/>
    <w:rsid w:val="00CC2011"/>
    <w:rsid w:val="00CC3EA0"/>
    <w:rsid w:val="00CC47F7"/>
    <w:rsid w:val="00CC5FE4"/>
    <w:rsid w:val="00CC6186"/>
    <w:rsid w:val="00CC7B45"/>
    <w:rsid w:val="00CD1188"/>
    <w:rsid w:val="00CD2351"/>
    <w:rsid w:val="00CD2ED1"/>
    <w:rsid w:val="00CD337B"/>
    <w:rsid w:val="00CE0424"/>
    <w:rsid w:val="00CE7561"/>
    <w:rsid w:val="00CF1354"/>
    <w:rsid w:val="00CF3B1F"/>
    <w:rsid w:val="00CF3BF6"/>
    <w:rsid w:val="00CF625B"/>
    <w:rsid w:val="00CF628F"/>
    <w:rsid w:val="00CF687E"/>
    <w:rsid w:val="00D0349B"/>
    <w:rsid w:val="00D10249"/>
    <w:rsid w:val="00D115C3"/>
    <w:rsid w:val="00D11897"/>
    <w:rsid w:val="00D11945"/>
    <w:rsid w:val="00D13135"/>
    <w:rsid w:val="00D13E4E"/>
    <w:rsid w:val="00D239A7"/>
    <w:rsid w:val="00D23F47"/>
    <w:rsid w:val="00D36E71"/>
    <w:rsid w:val="00D37BD9"/>
    <w:rsid w:val="00D37D87"/>
    <w:rsid w:val="00D40B33"/>
    <w:rsid w:val="00D4136A"/>
    <w:rsid w:val="00D4318F"/>
    <w:rsid w:val="00D438BF"/>
    <w:rsid w:val="00D44062"/>
    <w:rsid w:val="00D440F8"/>
    <w:rsid w:val="00D5028A"/>
    <w:rsid w:val="00D50F97"/>
    <w:rsid w:val="00D546FF"/>
    <w:rsid w:val="00D55AD5"/>
    <w:rsid w:val="00D55E72"/>
    <w:rsid w:val="00D576CA"/>
    <w:rsid w:val="00D61AF5"/>
    <w:rsid w:val="00D61E09"/>
    <w:rsid w:val="00D63B54"/>
    <w:rsid w:val="00D652B5"/>
    <w:rsid w:val="00D66155"/>
    <w:rsid w:val="00D708B0"/>
    <w:rsid w:val="00D77B1D"/>
    <w:rsid w:val="00D8021F"/>
    <w:rsid w:val="00D80383"/>
    <w:rsid w:val="00D823C6"/>
    <w:rsid w:val="00D86CA3"/>
    <w:rsid w:val="00D871CE"/>
    <w:rsid w:val="00D9169B"/>
    <w:rsid w:val="00D9196D"/>
    <w:rsid w:val="00D92982"/>
    <w:rsid w:val="00D95CA9"/>
    <w:rsid w:val="00DA0521"/>
    <w:rsid w:val="00DA305E"/>
    <w:rsid w:val="00DA5417"/>
    <w:rsid w:val="00DA56E8"/>
    <w:rsid w:val="00DB0A9F"/>
    <w:rsid w:val="00DB377D"/>
    <w:rsid w:val="00DC2D36"/>
    <w:rsid w:val="00DC53EF"/>
    <w:rsid w:val="00DC5F17"/>
    <w:rsid w:val="00DD48F8"/>
    <w:rsid w:val="00DE216C"/>
    <w:rsid w:val="00DE5608"/>
    <w:rsid w:val="00DE58D0"/>
    <w:rsid w:val="00DE654F"/>
    <w:rsid w:val="00DF07CB"/>
    <w:rsid w:val="00DF0B6E"/>
    <w:rsid w:val="00DF15E0"/>
    <w:rsid w:val="00DF37A0"/>
    <w:rsid w:val="00DF71A0"/>
    <w:rsid w:val="00E1019B"/>
    <w:rsid w:val="00E110E7"/>
    <w:rsid w:val="00E11B20"/>
    <w:rsid w:val="00E14052"/>
    <w:rsid w:val="00E14D9A"/>
    <w:rsid w:val="00E17FA2"/>
    <w:rsid w:val="00E2224A"/>
    <w:rsid w:val="00E22330"/>
    <w:rsid w:val="00E30B5A"/>
    <w:rsid w:val="00E3123D"/>
    <w:rsid w:val="00E31461"/>
    <w:rsid w:val="00E31D43"/>
    <w:rsid w:val="00E32608"/>
    <w:rsid w:val="00E34188"/>
    <w:rsid w:val="00E34B6E"/>
    <w:rsid w:val="00E35559"/>
    <w:rsid w:val="00E3723A"/>
    <w:rsid w:val="00E37860"/>
    <w:rsid w:val="00E446F1"/>
    <w:rsid w:val="00E44A35"/>
    <w:rsid w:val="00E46765"/>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87E49"/>
    <w:rsid w:val="00E90395"/>
    <w:rsid w:val="00E90E49"/>
    <w:rsid w:val="00E917F9"/>
    <w:rsid w:val="00E9291C"/>
    <w:rsid w:val="00E93FFE"/>
    <w:rsid w:val="00E94F8A"/>
    <w:rsid w:val="00EA79D8"/>
    <w:rsid w:val="00EA7A41"/>
    <w:rsid w:val="00EB077B"/>
    <w:rsid w:val="00EB4EA2"/>
    <w:rsid w:val="00EC136D"/>
    <w:rsid w:val="00EC27C6"/>
    <w:rsid w:val="00EC4207"/>
    <w:rsid w:val="00EC5653"/>
    <w:rsid w:val="00EC71CE"/>
    <w:rsid w:val="00ED1006"/>
    <w:rsid w:val="00EF18FE"/>
    <w:rsid w:val="00EF28E0"/>
    <w:rsid w:val="00EF5787"/>
    <w:rsid w:val="00EF60D0"/>
    <w:rsid w:val="00F01760"/>
    <w:rsid w:val="00F0528D"/>
    <w:rsid w:val="00F06C67"/>
    <w:rsid w:val="00F06DFD"/>
    <w:rsid w:val="00F071D1"/>
    <w:rsid w:val="00F07533"/>
    <w:rsid w:val="00F10629"/>
    <w:rsid w:val="00F14320"/>
    <w:rsid w:val="00F154BD"/>
    <w:rsid w:val="00F15FA5"/>
    <w:rsid w:val="00F17EDD"/>
    <w:rsid w:val="00F209B7"/>
    <w:rsid w:val="00F2376F"/>
    <w:rsid w:val="00F243D8"/>
    <w:rsid w:val="00F30828"/>
    <w:rsid w:val="00F313D6"/>
    <w:rsid w:val="00F330D4"/>
    <w:rsid w:val="00F37B11"/>
    <w:rsid w:val="00F40F0C"/>
    <w:rsid w:val="00F43FC4"/>
    <w:rsid w:val="00F4766C"/>
    <w:rsid w:val="00F507D1"/>
    <w:rsid w:val="00F519CE"/>
    <w:rsid w:val="00F51ADA"/>
    <w:rsid w:val="00F607C5"/>
    <w:rsid w:val="00F60C23"/>
    <w:rsid w:val="00F60DEA"/>
    <w:rsid w:val="00F6302A"/>
    <w:rsid w:val="00F64C2B"/>
    <w:rsid w:val="00F651BE"/>
    <w:rsid w:val="00F67F53"/>
    <w:rsid w:val="00F703BE"/>
    <w:rsid w:val="00F71F69"/>
    <w:rsid w:val="00F72B72"/>
    <w:rsid w:val="00F74BB9"/>
    <w:rsid w:val="00F75582"/>
    <w:rsid w:val="00F76EFA"/>
    <w:rsid w:val="00F804BE"/>
    <w:rsid w:val="00F817CE"/>
    <w:rsid w:val="00F82DBB"/>
    <w:rsid w:val="00F8456C"/>
    <w:rsid w:val="00F859D8"/>
    <w:rsid w:val="00F868F5"/>
    <w:rsid w:val="00F9056A"/>
    <w:rsid w:val="00F90F8D"/>
    <w:rsid w:val="00F92782"/>
    <w:rsid w:val="00F93AA9"/>
    <w:rsid w:val="00F94676"/>
    <w:rsid w:val="00F96985"/>
    <w:rsid w:val="00F97838"/>
    <w:rsid w:val="00FA2BB3"/>
    <w:rsid w:val="00FA787F"/>
    <w:rsid w:val="00FB4C80"/>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E7D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4B21"/>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44B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B2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link w:val="Caption"/>
    <w:uiPriority w:val="99"/>
    <w:locked/>
    <w:rsid w:val="00743CD9"/>
    <w:rPr>
      <w:rFonts w:asciiTheme="minorHAnsi" w:eastAsiaTheme="minorHAnsi" w:hAnsiTheme="minorHAnsi" w:cstheme="minorBidi"/>
      <w:b/>
      <w:bCs/>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51148429">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2018-01-12T16:26:00Z</dcterms:created>
  <dcterms:modified xsi:type="dcterms:W3CDTF">2018-01-12T16:26:00Z</dcterms:modified>
</cp:coreProperties>
</file>